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Default="005F64DA">
      <w:pPr>
        <w:spacing w:line="480" w:lineRule="exact"/>
        <w:jc w:val="center"/>
        <w:rPr>
          <w:rStyle w:val="font91"/>
          <w:rFonts w:ascii="仿宋_GB2312" w:eastAsia="仿宋_GB2312" w:hAnsi="仿宋" w:hint="default"/>
        </w:rPr>
      </w:pPr>
      <w:bookmarkStart w:id="0" w:name="_GoBack"/>
      <w:r>
        <w:rPr>
          <w:rFonts w:ascii="方正小标宋简体" w:eastAsia="方正小标宋简体" w:hAnsi="方正小标宋简体" w:cs="方正小标宋简体" w:hint="eastAsia"/>
          <w:color w:val="000000"/>
          <w:kern w:val="0"/>
          <w:sz w:val="44"/>
          <w:szCs w:val="44"/>
          <w:lang w:bidi="ar"/>
        </w:rPr>
        <w:t>鹤山市</w:t>
      </w:r>
      <w:r>
        <w:rPr>
          <w:rFonts w:ascii="方正小标宋简体" w:eastAsia="方正小标宋简体" w:hAnsi="方正小标宋简体" w:cs="方正小标宋简体" w:hint="eastAsia"/>
          <w:color w:val="000000"/>
          <w:kern w:val="0"/>
          <w:sz w:val="44"/>
          <w:szCs w:val="44"/>
          <w:lang w:bidi="ar"/>
        </w:rPr>
        <w:t>妇联</w:t>
      </w:r>
      <w:r>
        <w:rPr>
          <w:rFonts w:ascii="方正小标宋简体" w:eastAsia="方正小标宋简体" w:hAnsi="方正小标宋简体" w:cs="方正小标宋简体" w:hint="eastAsia"/>
          <w:color w:val="000000"/>
          <w:kern w:val="0"/>
          <w:sz w:val="44"/>
          <w:szCs w:val="44"/>
          <w:lang w:bidi="ar"/>
        </w:rPr>
        <w:t>“谁执法谁普法”普法责任清单（</w:t>
      </w:r>
      <w:r>
        <w:rPr>
          <w:rFonts w:ascii="方正小标宋简体" w:eastAsia="方正小标宋简体" w:hAnsi="方正小标宋简体" w:cs="方正小标宋简体" w:hint="eastAsia"/>
          <w:color w:val="000000"/>
          <w:kern w:val="0"/>
          <w:sz w:val="44"/>
          <w:szCs w:val="44"/>
          <w:lang w:bidi="ar"/>
        </w:rPr>
        <w:t>2021</w:t>
      </w:r>
      <w:r>
        <w:rPr>
          <w:rFonts w:ascii="方正小标宋简体" w:eastAsia="方正小标宋简体" w:hAnsi="方正小标宋简体" w:cs="方正小标宋简体" w:hint="eastAsia"/>
          <w:color w:val="000000"/>
          <w:kern w:val="0"/>
          <w:sz w:val="44"/>
          <w:szCs w:val="44"/>
          <w:lang w:bidi="ar"/>
        </w:rPr>
        <w:t>年）</w:t>
      </w:r>
    </w:p>
    <w:bookmarkEnd w:id="0"/>
    <w:p w:rsidR="002C0AC1" w:rsidRDefault="005F64DA">
      <w:pPr>
        <w:spacing w:line="480" w:lineRule="exact"/>
        <w:jc w:val="center"/>
        <w:rPr>
          <w:rStyle w:val="font91"/>
          <w:rFonts w:ascii="楷体" w:eastAsia="楷体" w:hAnsi="楷体" w:cs="楷体" w:hint="default"/>
          <w:lang w:bidi="ar"/>
        </w:rPr>
      </w:pPr>
      <w:r>
        <w:rPr>
          <w:rStyle w:val="font91"/>
          <w:rFonts w:ascii="楷体" w:eastAsia="楷体" w:hAnsi="楷体" w:cs="楷体" w:hint="default"/>
          <w:lang w:bidi="ar"/>
        </w:rPr>
        <w:t>共性普法责任清单</w:t>
      </w:r>
    </w:p>
    <w:tbl>
      <w:tblPr>
        <w:tblW w:w="14601" w:type="dxa"/>
        <w:tblInd w:w="-269" w:type="dxa"/>
        <w:tblLayout w:type="fixed"/>
        <w:tblCellMar>
          <w:top w:w="15" w:type="dxa"/>
          <w:left w:w="15" w:type="dxa"/>
          <w:bottom w:w="15" w:type="dxa"/>
          <w:right w:w="15" w:type="dxa"/>
        </w:tblCellMar>
        <w:tblLook w:val="04A0" w:firstRow="1" w:lastRow="0" w:firstColumn="1" w:lastColumn="0" w:noHBand="0" w:noVBand="1"/>
      </w:tblPr>
      <w:tblGrid>
        <w:gridCol w:w="4395"/>
        <w:gridCol w:w="1134"/>
        <w:gridCol w:w="1843"/>
        <w:gridCol w:w="7229"/>
      </w:tblGrid>
      <w:tr w:rsidR="002C0AC1">
        <w:trPr>
          <w:trHeight w:val="240"/>
          <w:tblHeader/>
        </w:trPr>
        <w:tc>
          <w:tcPr>
            <w:tcW w:w="4395"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普法内容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普法对象</w:t>
            </w:r>
          </w:p>
        </w:tc>
        <w:tc>
          <w:tcPr>
            <w:tcW w:w="1843"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普法目标</w:t>
            </w:r>
          </w:p>
        </w:tc>
        <w:tc>
          <w:tcPr>
            <w:tcW w:w="7229"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具体举措</w:t>
            </w:r>
          </w:p>
        </w:tc>
      </w:tr>
      <w:tr w:rsidR="002C0AC1">
        <w:trPr>
          <w:trHeight w:val="2705"/>
        </w:trPr>
        <w:tc>
          <w:tcPr>
            <w:tcW w:w="4395" w:type="dxa"/>
            <w:tcBorders>
              <w:top w:val="single" w:sz="4" w:space="0" w:color="000000"/>
              <w:left w:val="single" w:sz="4" w:space="0" w:color="000000"/>
              <w:bottom w:val="single" w:sz="4" w:space="0" w:color="auto"/>
              <w:right w:val="single" w:sz="4" w:space="0" w:color="000000"/>
            </w:tcBorders>
            <w:vAlign w:val="center"/>
          </w:tcPr>
          <w:p w:rsidR="002C0AC1" w:rsidRDefault="005F64DA">
            <w:pPr>
              <w:widowControl/>
              <w:spacing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深入学习宣传习近平新时代中国特色社会主义思想特别是习近平总书记关于全面依法治国、依规治党的重要论述和以习近平同志为核心的党中央关于全面依法治国的重要部署</w:t>
            </w:r>
            <w:r>
              <w:rPr>
                <w:rFonts w:ascii="仿宋_GB2312" w:eastAsia="仿宋_GB2312" w:hAnsi="仿宋_GB2312" w:cs="仿宋_GB2312" w:hint="eastAsia"/>
                <w:color w:val="000000"/>
              </w:rPr>
              <w:t>;</w:t>
            </w:r>
          </w:p>
          <w:p w:rsidR="002C0AC1" w:rsidRDefault="005F64DA">
            <w:pPr>
              <w:widowControl/>
              <w:spacing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深入学习宣传宪法和中国特色社会主义法律体系；</w:t>
            </w:r>
          </w:p>
          <w:p w:rsidR="002C0AC1" w:rsidRDefault="005F64DA">
            <w:pPr>
              <w:widowControl/>
              <w:spacing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3.</w:t>
            </w:r>
            <w:r>
              <w:rPr>
                <w:rFonts w:ascii="仿宋_GB2312" w:eastAsia="仿宋_GB2312" w:hAnsi="仿宋_GB2312" w:cs="仿宋_GB2312" w:hint="eastAsia"/>
                <w:color w:val="000000"/>
              </w:rPr>
              <w:t>广泛开展民法典普法宣传；</w:t>
            </w:r>
          </w:p>
          <w:p w:rsidR="002C0AC1" w:rsidRDefault="005F64DA">
            <w:pPr>
              <w:widowControl/>
              <w:spacing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4.</w:t>
            </w:r>
            <w:r>
              <w:rPr>
                <w:rFonts w:ascii="仿宋_GB2312" w:eastAsia="仿宋_GB2312" w:hAnsi="仿宋_GB2312" w:cs="仿宋_GB2312" w:hint="eastAsia"/>
                <w:color w:val="000000"/>
              </w:rPr>
              <w:t>深入学习宣传党内法规；</w:t>
            </w:r>
          </w:p>
          <w:p w:rsidR="002C0AC1" w:rsidRDefault="005F64DA">
            <w:pPr>
              <w:widowControl/>
              <w:spacing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5.</w:t>
            </w:r>
            <w:r>
              <w:rPr>
                <w:rFonts w:ascii="仿宋_GB2312" w:eastAsia="仿宋_GB2312" w:hAnsi="仿宋_GB2312" w:cs="仿宋_GB2312" w:hint="eastAsia"/>
                <w:color w:val="000000"/>
              </w:rPr>
              <w:t>深入学习宣传《江门市文明行为促进条例》。</w:t>
            </w:r>
          </w:p>
        </w:tc>
        <w:tc>
          <w:tcPr>
            <w:tcW w:w="1134" w:type="dxa"/>
            <w:tcBorders>
              <w:top w:val="single" w:sz="4" w:space="0" w:color="000000"/>
              <w:left w:val="single" w:sz="4" w:space="0" w:color="000000"/>
              <w:bottom w:val="single" w:sz="4" w:space="0" w:color="auto"/>
              <w:right w:val="single" w:sz="4" w:space="0" w:color="000000"/>
            </w:tcBorders>
            <w:vAlign w:val="center"/>
          </w:tcPr>
          <w:p w:rsidR="002C0AC1" w:rsidRDefault="005F64DA">
            <w:pPr>
              <w:widowControl/>
              <w:spacing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全体公民</w:t>
            </w:r>
          </w:p>
        </w:tc>
        <w:tc>
          <w:tcPr>
            <w:tcW w:w="1843" w:type="dxa"/>
            <w:tcBorders>
              <w:top w:val="single" w:sz="4" w:space="0" w:color="000000"/>
              <w:left w:val="single" w:sz="4" w:space="0" w:color="000000"/>
              <w:bottom w:val="single" w:sz="4" w:space="0" w:color="auto"/>
              <w:right w:val="single" w:sz="4" w:space="0" w:color="000000"/>
            </w:tcBorders>
            <w:vAlign w:val="center"/>
          </w:tcPr>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提高全民法治意识，提升政府依法治理能力和水平，在全社会形成尊法学法守法用法的良好氛围。</w:t>
            </w:r>
          </w:p>
        </w:tc>
        <w:tc>
          <w:tcPr>
            <w:tcW w:w="7229" w:type="dxa"/>
            <w:tcBorders>
              <w:top w:val="single" w:sz="4" w:space="0" w:color="000000"/>
              <w:left w:val="single" w:sz="4" w:space="0" w:color="000000"/>
              <w:bottom w:val="single" w:sz="4" w:space="0" w:color="auto"/>
              <w:right w:val="single" w:sz="4" w:space="0" w:color="000000"/>
            </w:tcBorders>
            <w:vAlign w:val="center"/>
          </w:tcPr>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1.</w:t>
            </w:r>
            <w:r>
              <w:rPr>
                <w:rFonts w:ascii="仿宋_GB2312" w:eastAsia="仿宋_GB2312" w:hAnsi="仿宋_GB2312" w:cs="仿宋_GB2312" w:hint="eastAsia"/>
                <w:color w:val="000000"/>
              </w:rPr>
              <w:t>组织开展“尊法学法守法用法”主题法治宣传教育实践活动和“尊崇宪法、学习宪法、遵守宪法、维护宪法、运用宪法”宣传教育活动</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积极参与全国普法办和省、市普法办组织开展的法治宣传教育活动和社会公益普法活动。广泛开展民法典普法宣传</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让民法典走进群众心中。</w:t>
            </w:r>
          </w:p>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充分利用国家宪法日、法治广东宣传教育周、行业宣传日</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周、月</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、法律法规颁布施行纪念日等时间节点，持续开展“法律六进”活动。</w:t>
            </w:r>
          </w:p>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3.</w:t>
            </w:r>
            <w:r>
              <w:rPr>
                <w:rFonts w:ascii="仿宋_GB2312" w:eastAsia="仿宋_GB2312" w:hAnsi="仿宋_GB2312" w:cs="仿宋_GB2312" w:hint="eastAsia"/>
                <w:color w:val="000000"/>
              </w:rPr>
              <w:t>围绕创建全国文明城市，通过以案释法等方式深</w:t>
            </w:r>
            <w:r>
              <w:rPr>
                <w:rFonts w:ascii="仿宋_GB2312" w:eastAsia="仿宋_GB2312" w:hAnsi="仿宋_GB2312" w:cs="仿宋_GB2312" w:hint="eastAsia"/>
                <w:color w:val="000000"/>
              </w:rPr>
              <w:t>入开展法治宣传教育，加大对《江门市文明行为促进条例》的宣传力度，大力弘扬社会主义核心价值观，推动法治和德治相结合，提升公民法治素养和道德修养。</w:t>
            </w:r>
          </w:p>
        </w:tc>
      </w:tr>
      <w:tr w:rsidR="002C0AC1">
        <w:trPr>
          <w:trHeight w:val="961"/>
        </w:trPr>
        <w:tc>
          <w:tcPr>
            <w:tcW w:w="4395" w:type="dxa"/>
            <w:tcBorders>
              <w:top w:val="single" w:sz="4" w:space="0" w:color="auto"/>
              <w:left w:val="single" w:sz="4" w:space="0" w:color="000000"/>
              <w:bottom w:val="single" w:sz="4" w:space="0" w:color="000000"/>
              <w:right w:val="single" w:sz="4" w:space="0" w:color="000000"/>
            </w:tcBorders>
            <w:vAlign w:val="center"/>
          </w:tcPr>
          <w:p w:rsidR="002C0AC1" w:rsidRDefault="005F64DA">
            <w:pPr>
              <w:widowControl/>
              <w:spacing w:line="300" w:lineRule="exac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突出学习宣传与本系统、本部门职责相关的行业性、专业性法律法规，以及行政许可法、行政强制法、行政处罚法、行政复议法、行政诉讼法和政府信息公开条例等与行政行为密切相关的程序性法律法规。</w:t>
            </w:r>
            <w:r>
              <w:rPr>
                <w:rFonts w:ascii="仿宋_GB2312" w:eastAsia="仿宋_GB2312" w:hAnsi="仿宋_GB2312" w:cs="仿宋_GB2312" w:hint="eastAsia"/>
                <w:color w:val="000000"/>
              </w:rPr>
              <w:t xml:space="preserve"> </w:t>
            </w:r>
          </w:p>
        </w:tc>
        <w:tc>
          <w:tcPr>
            <w:tcW w:w="1134" w:type="dxa"/>
            <w:tcBorders>
              <w:top w:val="single" w:sz="4" w:space="0" w:color="auto"/>
              <w:left w:val="single" w:sz="4" w:space="0" w:color="000000"/>
              <w:bottom w:val="single" w:sz="4" w:space="0" w:color="000000"/>
              <w:right w:val="single" w:sz="4" w:space="0" w:color="000000"/>
            </w:tcBorders>
            <w:vAlign w:val="center"/>
          </w:tcPr>
          <w:p w:rsidR="002C0AC1" w:rsidRDefault="005F64DA">
            <w:pPr>
              <w:widowControl/>
              <w:spacing w:line="300" w:lineRule="exact"/>
              <w:jc w:val="center"/>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机关、事业单位工作人员</w:t>
            </w:r>
          </w:p>
        </w:tc>
        <w:tc>
          <w:tcPr>
            <w:tcW w:w="1843" w:type="dxa"/>
            <w:tcBorders>
              <w:top w:val="single" w:sz="4" w:space="0" w:color="auto"/>
              <w:left w:val="single" w:sz="4" w:space="0" w:color="000000"/>
              <w:bottom w:val="single" w:sz="4" w:space="0" w:color="000000"/>
              <w:right w:val="single" w:sz="4" w:space="0" w:color="000000"/>
            </w:tcBorders>
            <w:vAlign w:val="center"/>
          </w:tcPr>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增强工作人员法律业务素质，提升政府机构管理与服务水平。</w:t>
            </w:r>
          </w:p>
        </w:tc>
        <w:tc>
          <w:tcPr>
            <w:tcW w:w="7229" w:type="dxa"/>
            <w:tcBorders>
              <w:top w:val="single" w:sz="4" w:space="0" w:color="auto"/>
              <w:left w:val="single" w:sz="4" w:space="0" w:color="000000"/>
              <w:bottom w:val="single" w:sz="4" w:space="0" w:color="000000"/>
              <w:right w:val="single" w:sz="4" w:space="0" w:color="000000"/>
            </w:tcBorders>
            <w:vAlign w:val="center"/>
          </w:tcPr>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 xml:space="preserve">1. </w:t>
            </w:r>
            <w:r>
              <w:rPr>
                <w:rFonts w:ascii="仿宋_GB2312" w:eastAsia="仿宋_GB2312" w:hAnsi="仿宋_GB2312" w:cs="仿宋_GB2312" w:hint="eastAsia"/>
                <w:color w:val="000000"/>
              </w:rPr>
              <w:t>健全完善党委理论学习中心组学法治度和国家工作人员日常学法治度，推进机关工作人员学法经常化。</w:t>
            </w:r>
          </w:p>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通过组织专题培训、邀请法律专家授课等多种形式强化法治学习。</w:t>
            </w:r>
          </w:p>
          <w:p w:rsidR="002C0AC1" w:rsidRDefault="005F64DA">
            <w:pPr>
              <w:widowControl/>
              <w:spacing w:line="300" w:lineRule="exact"/>
              <w:jc w:val="left"/>
              <w:textAlignment w:val="center"/>
              <w:rPr>
                <w:rFonts w:ascii="仿宋_GB2312" w:eastAsia="仿宋_GB2312" w:hAnsi="仿宋_GB2312" w:cs="仿宋_GB2312"/>
                <w:color w:val="000000"/>
              </w:rPr>
            </w:pPr>
            <w:r>
              <w:rPr>
                <w:rFonts w:ascii="仿宋_GB2312" w:eastAsia="仿宋_GB2312" w:hAnsi="仿宋_GB2312" w:cs="仿宋_GB2312" w:hint="eastAsia"/>
                <w:color w:val="000000"/>
              </w:rPr>
              <w:t xml:space="preserve">3. </w:t>
            </w:r>
            <w:r>
              <w:rPr>
                <w:rFonts w:ascii="仿宋_GB2312" w:eastAsia="仿宋_GB2312" w:hAnsi="仿宋_GB2312" w:cs="仿宋_GB2312" w:hint="eastAsia"/>
                <w:color w:val="000000"/>
              </w:rPr>
              <w:t>组织发动工作人员参加年度学法考试，将考试结果纳入工作人员年度考核内容。</w:t>
            </w:r>
          </w:p>
        </w:tc>
      </w:tr>
    </w:tbl>
    <w:p w:rsidR="002C0AC1" w:rsidRDefault="005F64DA">
      <w:pPr>
        <w:jc w:val="center"/>
        <w:rPr>
          <w:rStyle w:val="font91"/>
          <w:rFonts w:ascii="楷体" w:eastAsia="楷体" w:hAnsi="楷体" w:cs="楷体" w:hint="default"/>
          <w:lang w:bidi="ar"/>
        </w:rPr>
      </w:pPr>
      <w:r>
        <w:rPr>
          <w:rStyle w:val="font91"/>
          <w:rFonts w:ascii="楷体" w:eastAsia="楷体" w:hAnsi="楷体" w:cs="楷体" w:hint="default"/>
          <w:lang w:bidi="ar"/>
        </w:rPr>
        <w:t>个性普法责任清单</w:t>
      </w:r>
    </w:p>
    <w:tbl>
      <w:tblPr>
        <w:tblW w:w="0" w:type="auto"/>
        <w:tblInd w:w="-269" w:type="dxa"/>
        <w:tblLayout w:type="fixed"/>
        <w:tblCellMar>
          <w:top w:w="15" w:type="dxa"/>
          <w:left w:w="15" w:type="dxa"/>
          <w:bottom w:w="15" w:type="dxa"/>
          <w:right w:w="15" w:type="dxa"/>
        </w:tblCellMar>
        <w:tblLook w:val="04A0" w:firstRow="1" w:lastRow="0" w:firstColumn="1" w:lastColumn="0" w:noHBand="0" w:noVBand="1"/>
      </w:tblPr>
      <w:tblGrid>
        <w:gridCol w:w="4395"/>
        <w:gridCol w:w="1134"/>
        <w:gridCol w:w="1843"/>
        <w:gridCol w:w="7229"/>
      </w:tblGrid>
      <w:tr w:rsidR="002C0AC1">
        <w:trPr>
          <w:trHeight w:val="240"/>
          <w:tblHeader/>
        </w:trPr>
        <w:tc>
          <w:tcPr>
            <w:tcW w:w="4395"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普法内容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普法对象</w:t>
            </w:r>
          </w:p>
        </w:tc>
        <w:tc>
          <w:tcPr>
            <w:tcW w:w="1843"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普法目标</w:t>
            </w:r>
          </w:p>
        </w:tc>
        <w:tc>
          <w:tcPr>
            <w:tcW w:w="7229" w:type="dxa"/>
            <w:tcBorders>
              <w:top w:val="single" w:sz="4" w:space="0" w:color="000000"/>
              <w:left w:val="single" w:sz="4" w:space="0" w:color="000000"/>
              <w:bottom w:val="single" w:sz="4" w:space="0" w:color="000000"/>
              <w:right w:val="single" w:sz="4" w:space="0" w:color="000000"/>
            </w:tcBorders>
            <w:vAlign w:val="center"/>
          </w:tcPr>
          <w:p w:rsidR="002C0AC1" w:rsidRDefault="005F64DA">
            <w:pPr>
              <w:widowControl/>
              <w:spacing w:line="320" w:lineRule="exact"/>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具体举措</w:t>
            </w:r>
          </w:p>
        </w:tc>
      </w:tr>
      <w:tr w:rsidR="002C0AC1">
        <w:trPr>
          <w:trHeight w:val="1710"/>
        </w:trPr>
        <w:tc>
          <w:tcPr>
            <w:tcW w:w="4395" w:type="dxa"/>
            <w:tcBorders>
              <w:top w:val="single" w:sz="4" w:space="0" w:color="000000"/>
              <w:left w:val="single" w:sz="4" w:space="0" w:color="000000"/>
              <w:bottom w:val="single" w:sz="4" w:space="0" w:color="auto"/>
              <w:right w:val="single" w:sz="4" w:space="0" w:color="000000"/>
            </w:tcBorders>
            <w:vAlign w:val="center"/>
          </w:tcPr>
          <w:p w:rsidR="002C0AC1" w:rsidRDefault="005F64DA">
            <w:pPr>
              <w:widowControl/>
              <w:spacing w:line="300" w:lineRule="exact"/>
              <w:textAlignment w:val="center"/>
              <w:rPr>
                <w:rFonts w:ascii="仿宋" w:eastAsia="仿宋" w:hAnsi="仿宋" w:cs="仿宋"/>
                <w:color w:val="000000"/>
                <w:szCs w:val="21"/>
              </w:rPr>
            </w:pPr>
            <w:r>
              <w:rPr>
                <w:rFonts w:ascii="仿宋" w:eastAsia="仿宋" w:hAnsi="仿宋" w:cs="仿宋" w:hint="eastAsia"/>
                <w:szCs w:val="21"/>
              </w:rPr>
              <w:t>《妇女权益保障法》、《反家庭暴力法》、《未成年人保护法》、《女职工劳动保护特别规定》</w:t>
            </w:r>
          </w:p>
        </w:tc>
        <w:tc>
          <w:tcPr>
            <w:tcW w:w="1134" w:type="dxa"/>
            <w:tcBorders>
              <w:top w:val="single" w:sz="4" w:space="0" w:color="000000"/>
              <w:left w:val="single" w:sz="4" w:space="0" w:color="000000"/>
              <w:bottom w:val="single" w:sz="4" w:space="0" w:color="auto"/>
              <w:right w:val="single" w:sz="4" w:space="0" w:color="000000"/>
            </w:tcBorders>
            <w:vAlign w:val="center"/>
          </w:tcPr>
          <w:p w:rsidR="002C0AC1" w:rsidRDefault="005F64DA">
            <w:pPr>
              <w:snapToGrid w:val="0"/>
              <w:jc w:val="center"/>
              <w:rPr>
                <w:rFonts w:ascii="仿宋" w:eastAsia="仿宋" w:hAnsi="仿宋" w:cs="仿宋"/>
                <w:kern w:val="0"/>
                <w:szCs w:val="21"/>
              </w:rPr>
            </w:pPr>
            <w:r>
              <w:rPr>
                <w:rFonts w:ascii="仿宋" w:eastAsia="仿宋" w:hAnsi="仿宋" w:cs="仿宋" w:hint="eastAsia"/>
                <w:kern w:val="0"/>
                <w:szCs w:val="21"/>
              </w:rPr>
              <w:t>全市</w:t>
            </w:r>
          </w:p>
          <w:p w:rsidR="002C0AC1" w:rsidRDefault="005F64DA">
            <w:pPr>
              <w:widowControl/>
              <w:spacing w:line="300" w:lineRule="exact"/>
              <w:jc w:val="center"/>
              <w:textAlignment w:val="center"/>
              <w:rPr>
                <w:rFonts w:ascii="仿宋" w:eastAsia="仿宋" w:hAnsi="仿宋" w:cs="仿宋"/>
                <w:color w:val="000000"/>
                <w:szCs w:val="21"/>
              </w:rPr>
            </w:pPr>
            <w:r>
              <w:rPr>
                <w:rFonts w:ascii="仿宋" w:eastAsia="仿宋" w:hAnsi="仿宋" w:cs="仿宋" w:hint="eastAsia"/>
                <w:kern w:val="0"/>
                <w:szCs w:val="21"/>
              </w:rPr>
              <w:t>妇女儿童</w:t>
            </w:r>
          </w:p>
        </w:tc>
        <w:tc>
          <w:tcPr>
            <w:tcW w:w="1843" w:type="dxa"/>
            <w:tcBorders>
              <w:top w:val="single" w:sz="4" w:space="0" w:color="000000"/>
              <w:left w:val="single" w:sz="4" w:space="0" w:color="000000"/>
              <w:bottom w:val="single" w:sz="4" w:space="0" w:color="auto"/>
              <w:right w:val="single" w:sz="4" w:space="0" w:color="000000"/>
            </w:tcBorders>
            <w:vAlign w:val="center"/>
          </w:tcPr>
          <w:p w:rsidR="002C0AC1" w:rsidRDefault="005F64DA">
            <w:pPr>
              <w:widowControl/>
              <w:spacing w:line="300" w:lineRule="exact"/>
              <w:jc w:val="left"/>
              <w:textAlignment w:val="center"/>
              <w:rPr>
                <w:rFonts w:ascii="仿宋" w:eastAsia="仿宋" w:hAnsi="仿宋" w:cs="仿宋"/>
                <w:color w:val="000000"/>
                <w:szCs w:val="21"/>
              </w:rPr>
            </w:pPr>
            <w:r>
              <w:rPr>
                <w:rFonts w:ascii="仿宋" w:eastAsia="仿宋" w:hAnsi="仿宋" w:cs="仿宋" w:hint="eastAsia"/>
                <w:szCs w:val="21"/>
              </w:rPr>
              <w:t>通过开展一系列</w:t>
            </w:r>
            <w:r>
              <w:rPr>
                <w:rFonts w:ascii="仿宋" w:eastAsia="仿宋" w:hAnsi="仿宋" w:cs="仿宋" w:hint="eastAsia"/>
                <w:szCs w:val="21"/>
              </w:rPr>
              <w:t>活动</w:t>
            </w:r>
            <w:r>
              <w:rPr>
                <w:rFonts w:ascii="仿宋" w:eastAsia="仿宋" w:hAnsi="仿宋" w:cs="仿宋" w:hint="eastAsia"/>
                <w:szCs w:val="21"/>
              </w:rPr>
              <w:t>宣传维护妇女儿童的法律法规政策，引导妇女依法合理表达诉求、依法维护自身的合法权益。</w:t>
            </w:r>
          </w:p>
        </w:tc>
        <w:tc>
          <w:tcPr>
            <w:tcW w:w="7229" w:type="dxa"/>
            <w:tcBorders>
              <w:top w:val="single" w:sz="4" w:space="0" w:color="000000"/>
              <w:left w:val="single" w:sz="4" w:space="0" w:color="000000"/>
              <w:bottom w:val="single" w:sz="4" w:space="0" w:color="auto"/>
              <w:right w:val="single" w:sz="4" w:space="0" w:color="000000"/>
            </w:tcBorders>
            <w:vAlign w:val="center"/>
          </w:tcPr>
          <w:p w:rsidR="002C0AC1" w:rsidRDefault="005F64DA">
            <w:pPr>
              <w:spacing w:line="320" w:lineRule="exact"/>
              <w:jc w:val="left"/>
              <w:rPr>
                <w:rFonts w:ascii="仿宋" w:eastAsia="仿宋" w:hAnsi="仿宋" w:cs="仿宋"/>
                <w:szCs w:val="21"/>
              </w:rPr>
            </w:pPr>
            <w:r>
              <w:rPr>
                <w:rFonts w:ascii="仿宋" w:eastAsia="仿宋" w:hAnsi="仿宋" w:cs="仿宋" w:hint="eastAsia"/>
                <w:szCs w:val="21"/>
              </w:rPr>
              <w:t>一</w:t>
            </w:r>
            <w:r>
              <w:rPr>
                <w:rFonts w:ascii="仿宋" w:eastAsia="仿宋" w:hAnsi="仿宋" w:cs="仿宋" w:hint="eastAsia"/>
                <w:szCs w:val="21"/>
              </w:rPr>
              <w:t>是深化“三八”妇女</w:t>
            </w:r>
            <w:proofErr w:type="gramStart"/>
            <w:r>
              <w:rPr>
                <w:rFonts w:ascii="仿宋" w:eastAsia="仿宋" w:hAnsi="仿宋" w:cs="仿宋" w:hint="eastAsia"/>
                <w:szCs w:val="21"/>
              </w:rPr>
              <w:t>维权周宣传</w:t>
            </w:r>
            <w:proofErr w:type="gramEnd"/>
            <w:r>
              <w:rPr>
                <w:rFonts w:ascii="仿宋" w:eastAsia="仿宋" w:hAnsi="仿宋" w:cs="仿宋" w:hint="eastAsia"/>
                <w:szCs w:val="21"/>
              </w:rPr>
              <w:t>；</w:t>
            </w:r>
          </w:p>
          <w:p w:rsidR="002C0AC1" w:rsidRDefault="005F64DA">
            <w:pPr>
              <w:spacing w:line="320" w:lineRule="exact"/>
              <w:jc w:val="left"/>
              <w:rPr>
                <w:rFonts w:ascii="仿宋" w:eastAsia="仿宋" w:hAnsi="仿宋" w:cs="仿宋"/>
                <w:szCs w:val="21"/>
              </w:rPr>
            </w:pPr>
            <w:r>
              <w:rPr>
                <w:rFonts w:ascii="仿宋" w:eastAsia="仿宋" w:hAnsi="仿宋" w:cs="仿宋" w:hint="eastAsia"/>
                <w:szCs w:val="21"/>
              </w:rPr>
              <w:t>二</w:t>
            </w:r>
            <w:r>
              <w:rPr>
                <w:rFonts w:ascii="仿宋" w:eastAsia="仿宋" w:hAnsi="仿宋" w:cs="仿宋" w:hint="eastAsia"/>
                <w:szCs w:val="21"/>
              </w:rPr>
              <w:t>是依托“</w:t>
            </w:r>
            <w:r>
              <w:rPr>
                <w:rFonts w:ascii="仿宋" w:eastAsia="仿宋" w:hAnsi="仿宋" w:cs="仿宋" w:hint="eastAsia"/>
                <w:szCs w:val="21"/>
              </w:rPr>
              <w:t>6.1</w:t>
            </w:r>
            <w:r>
              <w:rPr>
                <w:rFonts w:ascii="仿宋" w:eastAsia="仿宋" w:hAnsi="仿宋" w:cs="仿宋" w:hint="eastAsia"/>
                <w:szCs w:val="21"/>
              </w:rPr>
              <w:t>”、“</w:t>
            </w:r>
            <w:r>
              <w:rPr>
                <w:rFonts w:ascii="仿宋" w:eastAsia="仿宋" w:hAnsi="仿宋" w:cs="仿宋" w:hint="eastAsia"/>
                <w:szCs w:val="21"/>
              </w:rPr>
              <w:t>6.26</w:t>
            </w:r>
            <w:r>
              <w:rPr>
                <w:rFonts w:ascii="仿宋" w:eastAsia="仿宋" w:hAnsi="仿宋" w:cs="仿宋" w:hint="eastAsia"/>
                <w:szCs w:val="21"/>
              </w:rPr>
              <w:t>”、“</w:t>
            </w:r>
            <w:r>
              <w:rPr>
                <w:rFonts w:ascii="仿宋" w:eastAsia="仿宋" w:hAnsi="仿宋" w:cs="仿宋" w:hint="eastAsia"/>
                <w:szCs w:val="21"/>
              </w:rPr>
              <w:t>11.25</w:t>
            </w:r>
            <w:r>
              <w:rPr>
                <w:rFonts w:ascii="仿宋" w:eastAsia="仿宋" w:hAnsi="仿宋" w:cs="仿宋" w:hint="eastAsia"/>
                <w:szCs w:val="21"/>
              </w:rPr>
              <w:t>”、“</w:t>
            </w:r>
            <w:r>
              <w:rPr>
                <w:rFonts w:ascii="仿宋" w:eastAsia="仿宋" w:hAnsi="仿宋" w:cs="仿宋" w:hint="eastAsia"/>
                <w:szCs w:val="21"/>
              </w:rPr>
              <w:t>12.1</w:t>
            </w:r>
            <w:r>
              <w:rPr>
                <w:rFonts w:ascii="仿宋" w:eastAsia="仿宋" w:hAnsi="仿宋" w:cs="仿宋" w:hint="eastAsia"/>
                <w:szCs w:val="21"/>
              </w:rPr>
              <w:t>”、“</w:t>
            </w:r>
            <w:r>
              <w:rPr>
                <w:rFonts w:ascii="仿宋" w:eastAsia="仿宋" w:hAnsi="仿宋" w:cs="仿宋" w:hint="eastAsia"/>
                <w:szCs w:val="21"/>
              </w:rPr>
              <w:t>12.4</w:t>
            </w:r>
            <w:r>
              <w:rPr>
                <w:rFonts w:ascii="仿宋" w:eastAsia="仿宋" w:hAnsi="仿宋" w:cs="仿宋" w:hint="eastAsia"/>
                <w:szCs w:val="21"/>
              </w:rPr>
              <w:t>”等重要节点，开展好各类普法宣传活动；</w:t>
            </w:r>
          </w:p>
          <w:p w:rsidR="002C0AC1" w:rsidRDefault="005F64DA">
            <w:pPr>
              <w:spacing w:line="320" w:lineRule="exact"/>
              <w:jc w:val="left"/>
              <w:rPr>
                <w:rFonts w:ascii="仿宋" w:eastAsia="仿宋" w:hAnsi="仿宋" w:cs="仿宋"/>
                <w:szCs w:val="21"/>
              </w:rPr>
            </w:pPr>
            <w:r>
              <w:rPr>
                <w:rFonts w:ascii="仿宋" w:eastAsia="仿宋" w:hAnsi="仿宋" w:cs="仿宋" w:hint="eastAsia"/>
                <w:szCs w:val="21"/>
              </w:rPr>
              <w:t>三</w:t>
            </w:r>
            <w:r>
              <w:rPr>
                <w:rFonts w:ascii="仿宋" w:eastAsia="仿宋" w:hAnsi="仿宋" w:cs="仿宋" w:hint="eastAsia"/>
                <w:szCs w:val="21"/>
              </w:rPr>
              <w:t>是深入开展“平安家庭”创建活动；</w:t>
            </w:r>
          </w:p>
          <w:p w:rsidR="002C0AC1" w:rsidRDefault="005F64DA">
            <w:pPr>
              <w:widowControl/>
              <w:spacing w:line="300" w:lineRule="exact"/>
              <w:jc w:val="left"/>
              <w:textAlignment w:val="center"/>
              <w:rPr>
                <w:rFonts w:ascii="仿宋" w:eastAsia="仿宋" w:hAnsi="仿宋" w:cs="仿宋"/>
                <w:color w:val="000000"/>
                <w:szCs w:val="21"/>
              </w:rPr>
            </w:pPr>
            <w:r>
              <w:rPr>
                <w:rFonts w:ascii="仿宋" w:eastAsia="仿宋" w:hAnsi="仿宋" w:cs="仿宋" w:hint="eastAsia"/>
                <w:bCs/>
                <w:w w:val="95"/>
                <w:szCs w:val="21"/>
              </w:rPr>
              <w:t>四</w:t>
            </w:r>
            <w:r>
              <w:rPr>
                <w:rFonts w:ascii="仿宋" w:eastAsia="仿宋" w:hAnsi="仿宋" w:cs="仿宋" w:hint="eastAsia"/>
                <w:bCs/>
                <w:w w:val="95"/>
                <w:szCs w:val="21"/>
              </w:rPr>
              <w:t>是开展“关爱女童</w:t>
            </w:r>
            <w:r>
              <w:rPr>
                <w:rFonts w:ascii="仿宋" w:eastAsia="仿宋" w:hAnsi="仿宋" w:cs="仿宋" w:hint="eastAsia"/>
                <w:bCs/>
                <w:w w:val="95"/>
                <w:szCs w:val="21"/>
              </w:rPr>
              <w:t xml:space="preserve"> </w:t>
            </w:r>
            <w:r>
              <w:rPr>
                <w:rFonts w:ascii="仿宋" w:eastAsia="仿宋" w:hAnsi="仿宋" w:cs="仿宋" w:hint="eastAsia"/>
                <w:bCs/>
                <w:w w:val="95"/>
                <w:szCs w:val="21"/>
              </w:rPr>
              <w:t>护苗成长”进校园宣讲活动。</w:t>
            </w:r>
          </w:p>
        </w:tc>
      </w:tr>
    </w:tbl>
    <w:p w:rsidR="002C0AC1" w:rsidRDefault="002C0AC1">
      <w:pPr>
        <w:snapToGrid w:val="0"/>
        <w:rPr>
          <w:rFonts w:ascii="宋体" w:eastAsia="宋体" w:hAnsi="宋体" w:cs="宋体"/>
          <w:sz w:val="28"/>
          <w:szCs w:val="28"/>
        </w:rPr>
      </w:pPr>
    </w:p>
    <w:sectPr w:rsidR="002C0AC1">
      <w:pgSz w:w="16838" w:h="11906" w:orient="landscape"/>
      <w:pgMar w:top="1293" w:right="1440" w:bottom="12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DA" w:rsidRDefault="005F64DA" w:rsidP="000B0B99">
      <w:r>
        <w:separator/>
      </w:r>
    </w:p>
  </w:endnote>
  <w:endnote w:type="continuationSeparator" w:id="0">
    <w:p w:rsidR="005F64DA" w:rsidRDefault="005F64DA" w:rsidP="000B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DA" w:rsidRDefault="005F64DA" w:rsidP="000B0B99">
      <w:r>
        <w:separator/>
      </w:r>
    </w:p>
  </w:footnote>
  <w:footnote w:type="continuationSeparator" w:id="0">
    <w:p w:rsidR="005F64DA" w:rsidRDefault="005F64DA" w:rsidP="000B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FA"/>
    <w:rsid w:val="00002561"/>
    <w:rsid w:val="000B0B99"/>
    <w:rsid w:val="00151BAA"/>
    <w:rsid w:val="001B1117"/>
    <w:rsid w:val="002C0AC1"/>
    <w:rsid w:val="00383A88"/>
    <w:rsid w:val="00392D26"/>
    <w:rsid w:val="004C61FA"/>
    <w:rsid w:val="005F64DA"/>
    <w:rsid w:val="00983A2C"/>
    <w:rsid w:val="009B279E"/>
    <w:rsid w:val="00A1403A"/>
    <w:rsid w:val="00C820A1"/>
    <w:rsid w:val="00E2241B"/>
    <w:rsid w:val="00E97E1D"/>
    <w:rsid w:val="0D9E42EB"/>
    <w:rsid w:val="10002012"/>
    <w:rsid w:val="36640F8F"/>
    <w:rsid w:val="6C1D0D89"/>
    <w:rsid w:val="747852A6"/>
    <w:rsid w:val="7B654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font91">
    <w:name w:val="font91"/>
    <w:qFormat/>
    <w:rPr>
      <w:rFonts w:ascii="方正小标宋简体" w:eastAsia="方正小标宋简体" w:hAnsi="方正小标宋简体" w:cs="方正小标宋简体" w:hint="eastAsia"/>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font91">
    <w:name w:val="font91"/>
    <w:qFormat/>
    <w:rPr>
      <w:rFonts w:ascii="方正小标宋简体" w:eastAsia="方正小标宋简体" w:hAnsi="方正小标宋简体" w:cs="方正小标宋简体" w:hint="eastAsia"/>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15E0E-E54D-41DF-91C8-CF4C5E4B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0</DocSecurity>
  <Lines>7</Lines>
  <Paragraphs>2</Paragraphs>
  <ScaleCrop>false</ScaleCrop>
  <Company>Microsoft</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林静</dc:creator>
  <cp:lastModifiedBy>谭东亮</cp:lastModifiedBy>
  <cp:revision>2</cp:revision>
  <dcterms:created xsi:type="dcterms:W3CDTF">2021-09-27T02:19:00Z</dcterms:created>
  <dcterms:modified xsi:type="dcterms:W3CDTF">2021-09-27T02:19:00Z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